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Letno vsebinsko poročilo Mladinske zveze Brez izgovora Slovenija za leto 2025</w:t>
      </w:r>
    </w:p>
    <w:p>
      <w:r>
        <w:t>Mladinska zveza Brez izgovora Slovenija (BIS) je v letu 2025 nadaljevala povezovanje mladinskega dela, preventive, raziskovanja, participacije in zagovorništva. Mladim smo omogočali pridobivanje znanja, razvoj kompetenc in prevzemanje odgovornosti v organizaciji ter njihovih skupnostih. Sodelovali smo s šolami, mladinskimi organizacijami, strokovnjaki in odločevalci ter razvijali programe na področjih zdravja mladih, preprečevanja zasvojenosti, duševnega zdravja in trajnostnega razvoja.</w:t>
      </w:r>
    </w:p>
    <w:p>
      <w:pPr>
        <w:pStyle w:val="Heading1"/>
      </w:pPr>
      <w:r>
        <w:t>Preventivni programi in sodelovanje s šolami</w:t>
      </w:r>
    </w:p>
    <w:p>
      <w:r>
        <w:t>Izvajali smo preventivne programe za osnovne in srednje šole, ki temeljijo na vrstniškem pristopu in metodah neformalnega izobraževanja. Mladi izvajalci so z učenci in dijaki obravnavali zasvojenosti, duševno zdravje, socialne veščine in zdrav življenjski slog.</w:t>
      </w:r>
    </w:p>
    <w:p>
      <w:r>
        <w:t>V okviru programov, sofinanciranih s strani Mestne občine Ljubljana, smo v letu 2025 dosegli naslednje rezultate:</w:t>
      </w:r>
    </w:p>
    <w:tbl>
      <w:tblPr>
        <w:tblStyle w:val="LightShading-Accent1"/>
        <w:tblW w:type="auto" w:w="0"/>
        <w:tblLook w:firstColumn="1" w:firstRow="1" w:lastColumn="0" w:lastRow="0" w:noHBand="0" w:noVBand="1" w:val="04A0"/>
      </w:tblPr>
      <w:tblGrid>
        <w:gridCol w:w="2880"/>
        <w:gridCol w:w="2880"/>
        <w:gridCol w:w="2880"/>
      </w:tblGrid>
      <w:tr>
        <w:tc>
          <w:tcPr>
            <w:tcW w:type="dxa" w:w="2880"/>
          </w:tcPr>
          <w:p>
            <w:r>
              <w:t>Program</w:t>
            </w:r>
          </w:p>
        </w:tc>
        <w:tc>
          <w:tcPr>
            <w:tcW w:type="dxa" w:w="2880"/>
          </w:tcPr>
          <w:p>
            <w:r>
              <w:t>Vključeni otroci in mladostniki</w:t>
            </w:r>
          </w:p>
        </w:tc>
        <w:tc>
          <w:tcPr>
            <w:tcW w:type="dxa" w:w="2880"/>
          </w:tcPr>
          <w:p>
            <w:r>
              <w:t>Izvedene šolske ure</w:t>
            </w:r>
          </w:p>
        </w:tc>
      </w:tr>
      <w:tr>
        <w:tc>
          <w:tcPr>
            <w:tcW w:type="dxa" w:w="2880"/>
          </w:tcPr>
          <w:p>
            <w:r>
              <w:t>Martin Krpan</w:t>
            </w:r>
          </w:p>
        </w:tc>
        <w:tc>
          <w:tcPr>
            <w:tcW w:type="dxa" w:w="2880"/>
          </w:tcPr>
          <w:p>
            <w:r>
              <w:t>1.486</w:t>
            </w:r>
          </w:p>
        </w:tc>
        <w:tc>
          <w:tcPr>
            <w:tcW w:type="dxa" w:w="2880"/>
          </w:tcPr>
          <w:p>
            <w:r>
              <w:t>110</w:t>
            </w:r>
          </w:p>
        </w:tc>
      </w:tr>
      <w:tr>
        <w:tc>
          <w:tcPr>
            <w:tcW w:type="dxa" w:w="2880"/>
          </w:tcPr>
          <w:p>
            <w:r>
              <w:t>Najpogostejše droge med mladimi</w:t>
            </w:r>
          </w:p>
        </w:tc>
        <w:tc>
          <w:tcPr>
            <w:tcW w:type="dxa" w:w="2880"/>
          </w:tcPr>
          <w:p>
            <w:r>
              <w:t>3.085</w:t>
            </w:r>
          </w:p>
        </w:tc>
        <w:tc>
          <w:tcPr>
            <w:tcW w:type="dxa" w:w="2880"/>
          </w:tcPr>
          <w:p>
            <w:r>
              <w:t>67</w:t>
            </w:r>
          </w:p>
        </w:tc>
      </w:tr>
      <w:tr>
        <w:tc>
          <w:tcPr>
            <w:tcW w:type="dxa" w:w="2880"/>
          </w:tcPr>
          <w:p>
            <w:r>
              <w:t>Skupaj v boljši jutri</w:t>
            </w:r>
          </w:p>
        </w:tc>
        <w:tc>
          <w:tcPr>
            <w:tcW w:type="dxa" w:w="2880"/>
          </w:tcPr>
          <w:p>
            <w:r>
              <w:t>1.116</w:t>
            </w:r>
          </w:p>
        </w:tc>
        <w:tc>
          <w:tcPr>
            <w:tcW w:type="dxa" w:w="2880"/>
          </w:tcPr>
          <w:p>
            <w:r>
              <w:t>82</w:t>
            </w:r>
          </w:p>
        </w:tc>
      </w:tr>
      <w:tr>
        <w:tc>
          <w:tcPr>
            <w:tcW w:type="dxa" w:w="2880"/>
          </w:tcPr>
          <w:p>
            <w:r>
              <w:t>Skupaj</w:t>
            </w:r>
          </w:p>
        </w:tc>
        <w:tc>
          <w:tcPr>
            <w:tcW w:type="dxa" w:w="2880"/>
          </w:tcPr>
          <w:p>
            <w:r>
              <w:t>5.687 vključitev</w:t>
            </w:r>
          </w:p>
        </w:tc>
        <w:tc>
          <w:tcPr>
            <w:tcW w:type="dxa" w:w="2880"/>
          </w:tcPr>
          <w:p>
            <w:r>
              <w:t>259</w:t>
            </w:r>
          </w:p>
        </w:tc>
      </w:tr>
    </w:tbl>
    <w:p>
      <w:r>
        <w:t>Seštevek predstavlja vključitve v posamezne programe, saj je lahko ista oseba sodelovala v več programih.</w:t>
      </w:r>
    </w:p>
    <w:p>
      <w:r>
        <w:t>V obdobju 2024–2025 smo z več kot 30 preventivnimi programi po Sloveniji dosegli približno 42.900 učencev in dijakov ter usposobili 170 izvajalcev. Izvedbo smo povezovali z usposabljanjem in podporo mladim izvajalcem ter sodelovanjem s šolami.</w:t>
      </w:r>
    </w:p>
    <w:p>
      <w:pPr>
        <w:pStyle w:val="Heading1"/>
      </w:pPr>
      <w:r>
        <w:t>Razvoj mladih in interno mladinsko delo</w:t>
      </w:r>
    </w:p>
    <w:p>
      <w:r>
        <w:t>Članom smo omogočali vključevanje v različne vloge, od aktivistov in izvajalcev do mentorjev, trenerjev, vodij in zagovornikov. Skozi programe so pridobivali praktične izkušnje, razvijali veščine sodelovanja in vodenja ter sodelovali pri oblikovanju in izvajanju aktivnosti.</w:t>
      </w:r>
    </w:p>
    <w:p>
      <w:r>
        <w:t>V letu 2025 se je zaključil projekt Brez izgovora 2023–2025. Med njegovimi pomembnejšimi dosežki je razvoj programa Zagovorniki, namenjenega pridobivanju kompetenc za zagovorništvo zdravstvenih politik in komuniciranje zdravstvenih vsebin. V okviru projekta smo izvedli 26 usposabljanj programa, ki se nadaljuje tudi po zaključku financiranja.</w:t>
      </w:r>
    </w:p>
    <w:p>
      <w:r>
        <w:t>V celotnem obdobju projekta smo izvedli tudi 25 usposabljanj za izvajalce, na katerih smo usposobili več kot 50 mladih, štiri usposabljanja za trenerje in štiri usposabljanja za mentorje. Izvedli smo tri tabore Brez izgovora, kjer so otroci skozi igro in izkustveno učenje razvijali odnos do sebe, drugih in okolja.</w:t>
      </w:r>
    </w:p>
    <w:p>
      <w:r>
        <w:t>Razvili smo Družbeno ustvarjalnico, ki mladim ob mentorstvu omogoča raziskovanje lokalnega okolja in oblikovanje pobud po pristopu »Kritiziraj, predlagaj, ukrepaj«. V obdobju 2024–2025 smo jo izvedli v petih slovenskih regijah.</w:t>
      </w:r>
    </w:p>
    <w:p>
      <w:pPr>
        <w:pStyle w:val="Heading1"/>
      </w:pPr>
      <w:r>
        <w:t>Raziskovanje in zagovorništvo</w:t>
      </w:r>
    </w:p>
    <w:p>
      <w:r>
        <w:t>Nadaljevali smo izvajanje skritih nakupov, s katerimi preverjamo spoštovanje prepovedi prodaje alkoholnih in tobačnih izdelkov mladoletnim. V obdobju 2024–2025 smo izvedli 120 skritih nakupov alkoholnih pijač in 110 skritih nakupov tobačnih izdelkov. Preverjali smo tudi spletno dostopnost alkoholnih pijač.</w:t>
      </w:r>
    </w:p>
    <w:p>
      <w:r>
        <w:t>Mladi so ob podpori mladinskih delavcev sodelovali pri terenskem preverjanju ter spoznavali zakonodajo, delovanje institucij in uporabo podatkov pri zagovorništvu. Rezultate smo predstavljali odločevalcem, strokovni javnosti in medijem ter jih uporabljali pri oblikovanju priporočil za učinkovitejše varovanje zdravja otrok in mladostnikov.</w:t>
      </w:r>
    </w:p>
    <w:p>
      <w:r>
        <w:t>Opozarjali smo na marketinške prakse alkoholne in tobačne industrije, usmerjene k mladim, ter se vključevali v javne razprave o zdravju mladih. Sodelovali smo tudi pri pripravi programa za mladino v okviru Mladinskega sveta Slovenije, kjer smo vodili pripravo prioritetnega področja zdravja mladih.</w:t>
      </w:r>
    </w:p>
    <w:p>
      <w:r>
        <w:t>V sodelovanju z UNICEF-om smo ustanovili gibanje Fix My Food, v katerem mladi naslavljajo zdravo prehrano in trženje nezdrave hrane. Z ozaveščanjem, oblikovanjem rešitev in zahtev za odločevalce povezujejo svoje izkušnje z zagovorništvom bolj zdravih prehranskih okolij.</w:t>
      </w:r>
    </w:p>
    <w:p>
      <w:pPr>
        <w:pStyle w:val="Heading1"/>
      </w:pPr>
      <w:r>
        <w:t>Nacionalno in mednarodno delovanje</w:t>
      </w:r>
    </w:p>
    <w:p>
      <w:r>
        <w:t>Na nacionalni ravni smo v letu 2025 izvajali projekt Glas mladih – Brez kmetij se ne da živet, namenjen ozaveščanju o trajnostni in lokalni prehrani ter njenem pomenu. V okviru projekta smo izvedli raziskovalni in fotografski natečaj.</w:t>
      </w:r>
    </w:p>
    <w:p>
      <w:r>
        <w:t>V projektu Mind the Gap, ki se je zaključil novembra 2025, smo sodelovali pri raziskovanju duševnega zdravja mladih ob prehodu iz izobraževanja v zaposlitev. Razvijali smo priročnike in orodja za strokovnjake ter sodelovali s svetovalci in mentorji Zavoda za zaposlovanje v Ljubljani in Kopru. Delo je bilo usmerjeno v zmanjševanje stigmatizacije in boljše prepoznavanje duševnih potreb mladih iskalcev zaposlitve.</w:t>
      </w:r>
    </w:p>
    <w:p>
      <w:r>
        <w:t>Nadaljevali smo sodelovanje v projektu Power Up!, ki mlade vključuje v razprave o podnebnih politikah in energetskem prehodu.</w:t>
      </w:r>
    </w:p>
    <w:p>
      <w:r>
        <w:t>V partnerskem projektu Pact4EU smo sodelovali na področju razumevanja evropskih institucij, procesov odločanja in mladinske politike. Projekt povezuje lokalne delavnice, mednarodno mladinsko srečanje v Bruslju in pripravo video vsebin o Evropski uniji za mlade ter spodbuja njihovo demokratično participacijo.</w:t>
      </w:r>
    </w:p>
    <w:p>
      <w:r>
        <w:t>V letu 2025 se je začel projekt Make PST4 Youth Work. V njem sodelujemo pri prilagajanju orodja za oceno bivalnega okolja mladim ter povezovanju mladinskega in javnozdravstvenega sektorja. Projekt mladim omogoča sodelovanje pri raziskovanju njihovega okolja in oblikovanju predlogov za bolj zdrave ter vključujoče lokalne skupnosti.</w:t>
      </w:r>
    </w:p>
    <w:p>
      <w:pPr>
        <w:pStyle w:val="Heading1"/>
      </w:pPr>
      <w:r>
        <w:t>Organizacijski razvoj in nadaljevanje programov</w:t>
      </w:r>
    </w:p>
    <w:p>
      <w:r>
        <w:t>S projektom Mentor in koordinator aktivistov na področju zdravja mladih smo podpirali razvoj mladih profesionalcev, mentorstvo in nadgradnjo programov. Delo je vključevalo posodabljanje skritih nakupov, Družbene ustvarjalnice, vsebinskih programov in taborov ter razvoj trenerjev in vodij projektov.</w:t>
      </w:r>
    </w:p>
    <w:p>
      <w:r>
        <w:t>Nadaljevali smo tudi projekt Mladi za zdravje, brez izgovora: prostovoljski program javnega in globalnega zdravja, namenjen krepitvi prostovoljstva, kompetenc mladih in sodelovanja na področju zdravja.</w:t>
      </w:r>
    </w:p>
    <w:p>
      <w:r>
        <w:t>Novembra 2025 so se začeli novi večletni projekti Brez izgovora 2025–2028, Brez izgovora za duševno zdravje in partnerski projekt Skupaj za zdravje. Z njimi nadaljujemo preventivno delo, podporo članom in izvajalcem ter razvijamo pristope za krepitev duševnega zdravja in preprečevanje nekemičnih zasvojenosti.</w:t>
      </w:r>
    </w:p>
    <w:p>
      <w:r>
        <w:t>Delovanje v letu 2025 je povezovalo neposredno delo z mladimi in razvoj pristopov, ki omogočajo njihovo vključevanje v raziskovanje, zagovorništvo in odločanje. Nadaljnji razvoj usmerjamo v jasnejšo pot vključevanja mladih, kakovostnejše vrednotenje programov ter krepitev skupnosti in sodelovanja s podpornimi okolji.</w:t>
      </w:r>
    </w:p>
    <w:sectPr w:rsidR="00FC693F" w:rsidRPr="0006063C" w:rsidSect="00034616">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